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2021-094</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bookmarkStart w:id="0" w:name="_GoBack"/>
      <w:r>
        <w:rPr>
          <w:rFonts w:hint="eastAsia" w:ascii="方正小标宋简体" w:hAnsi="华文中宋" w:eastAsia="方正小标宋简体"/>
          <w:b/>
          <w:bCs/>
          <w:sz w:val="44"/>
          <w:szCs w:val="44"/>
        </w:rPr>
        <w:t>关于同意</w:t>
      </w:r>
      <w:r>
        <w:rPr>
          <w:rFonts w:ascii="方正小标宋简体" w:eastAsia="方正小标宋简体"/>
          <w:b/>
          <w:sz w:val="44"/>
          <w:szCs w:val="44"/>
        </w:rPr>
        <w:t>先临三维科技股份有限公司</w:t>
      </w:r>
      <w:r>
        <w:rPr>
          <w:rFonts w:hint="eastAsia" w:ascii="方正小标宋简体" w:hAnsi="华文中宋" w:eastAsia="方正小标宋简体"/>
          <w:b/>
          <w:bCs/>
          <w:sz w:val="44"/>
          <w:szCs w:val="44"/>
        </w:rPr>
        <w:t>设立浙江省博士后工作站的函</w:t>
      </w:r>
      <w:bookmarkEnd w:id="0"/>
    </w:p>
    <w:p>
      <w:pPr>
        <w:widowControl/>
        <w:spacing w:beforeLines="50" w:line="560" w:lineRule="exact"/>
        <w:rPr>
          <w:rFonts w:ascii="仿宋" w:hAnsi="仿宋" w:eastAsia="仿宋"/>
          <w:sz w:val="32"/>
          <w:szCs w:val="32"/>
        </w:rPr>
      </w:pPr>
      <w:r>
        <w:rPr>
          <w:rFonts w:eastAsia="仿宋"/>
          <w:sz w:val="32"/>
          <w:szCs w:val="32"/>
        </w:rPr>
        <w:t>先临三维科技股份有限公司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先临三维科技股份有限公司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45025758"/>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68</TotalTime>
  <ScaleCrop>false</ScaleCrop>
  <LinksUpToDate>false</LinksUpToDate>
  <CharactersWithSpaces>620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2021-06-08T02:51:16Z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2052-11.1.0.10495</vt:lpwstr>
  </property>
  <property fmtid="{D5CDD505-2E9C-101B-9397-08002B2CF9AE}" pid="4" name="ICV">
    <vt:lpwstr>17CCF9B3679647B08AAEC2A65618137C</vt:lpwstr>
  </property>
</Properties>
</file>